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峨眉二中202</w:t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0级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高二下期5月月考</w:t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生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物试题</w:t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评分标准</w:t>
      </w:r>
    </w:p>
    <w:p>
      <w:pPr>
        <w:spacing w:before="120" w:beforeLines="50" w:after="120" w:afterLines="50"/>
        <w:jc w:val="left"/>
        <w:rPr>
          <w:rFonts w:hint="default" w:ascii="宋体" w:hAnsi="宋体" w:cs="宋体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一、选择题共60分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C  2.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D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3.A  4.C  5.D  6.A  7.D  8.D  9.A  10.D  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C  12.D  13.B  14.C  15.C  16.D  17.B  18.A  19.C   20.C 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B   22.C  23.D  24.C  25.C  26.B  27.D   28.C  29.B  30.C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二、非选择题共40分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31.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（10分）</w:t>
      </w:r>
    </w:p>
    <w:p>
      <w:pPr>
        <w:pStyle w:val="6"/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before="0" w:after="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具有核膜包被的细胞核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1分）</w:t>
      </w:r>
    </w:p>
    <w:p>
      <w:pPr>
        <w:pStyle w:val="6"/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before="0" w:after="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磷脂双分子层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1分 ）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蛋白质的种类和数量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2分）</w:t>
      </w:r>
    </w:p>
    <w:p>
      <w:pPr>
        <w:pStyle w:val="6"/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before="0" w:after="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①②④⑤⑧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（2分）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结构和功能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2分）</w:t>
      </w:r>
    </w:p>
    <w:p>
      <w:pPr>
        <w:pStyle w:val="6"/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before="0" w:after="0"/>
        <w:textAlignment w:val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⑥、④、⑤、①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2分）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32.（8分）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淀粉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1分）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纤维素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1分）</w:t>
      </w:r>
    </w:p>
    <w:p>
      <w:pPr>
        <w:pStyle w:val="6"/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before="0" w:after="0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构成细胞内某些复杂化合物的重要成分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2分）</w:t>
      </w:r>
    </w:p>
    <w:p>
      <w:pPr>
        <w:pStyle w:val="6"/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before="0" w:after="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构成动物细胞膜的重要成分，参与血液中脂质的运输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2分）</w:t>
      </w:r>
    </w:p>
    <w:p>
      <w:pPr>
        <w:pStyle w:val="6"/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before="0" w:after="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（4）细胞内的良好溶剂，运输营养物质和代谢废物，为细胞提供液体环境（1点1分，任意答两点2分）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overflowPunct/>
        <w:autoSpaceDE/>
        <w:autoSpaceDN/>
        <w:bidi w:val="0"/>
        <w:adjustRightInd/>
        <w:snapToGrid/>
        <w:spacing w:before="0" w:after="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33.（10分）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1）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高压蒸汽灭菌或干热灭菌</w:t>
      </w:r>
      <w:r>
        <w:rPr>
          <w:rFonts w:hint="eastAsia" w:ascii="宋体" w:hAnsi="宋体" w:cs="宋体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2分）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 xml:space="preserve">   倒平板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2）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 xml:space="preserve">无菌水    涂布平板时涂布不均匀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after="0" w:line="240" w:lineRule="auto"/>
        <w:ind w:left="0" w:right="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当样品的稀释度足够高时，一个菌落来源于样品稀释液中的一个活菌</w:t>
      </w:r>
      <w:r>
        <w:rPr>
          <w:rFonts w:hint="eastAsia" w:ascii="宋体" w:hAnsi="宋体" w:cs="宋体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2分）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rPr>
          <w:rFonts w:hint="eastAsia" w:ascii="宋体" w:hAnsi="宋体" w:cs="宋体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（3）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 xml:space="preserve">滤膜    伊红美蓝   </w:t>
      </w:r>
      <w:r>
        <w:rPr>
          <w:rFonts w:hint="eastAsia" w:ascii="宋体" w:hAnsi="宋体" w:cs="宋体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（4）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化学结合法和物理吸附法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63"/>
        </w:tabs>
        <w:kinsoku/>
        <w:wordWrap/>
        <w:overflowPunct/>
        <w:topLinePunct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34.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12分）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63"/>
        </w:tabs>
        <w:kinsoku/>
        <w:wordWrap/>
        <w:overflowPunct/>
        <w:topLinePunct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1）</w:t>
      </w:r>
      <w:r>
        <w:rPr>
          <w:rFonts w:ascii="宋体" w:hAnsi="宋体" w:eastAsia="宋体" w:cs="宋体"/>
          <w:sz w:val="24"/>
          <w:szCs w:val="24"/>
        </w:rPr>
        <w:t>使原料与有机溶剂充分接触，提高提取率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2分）   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63"/>
        </w:tabs>
        <w:kinsoku/>
        <w:wordWrap/>
        <w:overflowPunct/>
        <w:topLinePunct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甲醇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（1分）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 w:cs="宋体"/>
          <w:sz w:val="24"/>
          <w:szCs w:val="24"/>
        </w:rPr>
        <w:t>甲醇毒性较大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（1分） </w:t>
      </w:r>
      <w:r>
        <w:rPr>
          <w:rFonts w:ascii="宋体" w:hAnsi="宋体" w:eastAsia="宋体" w:cs="宋体"/>
          <w:sz w:val="24"/>
          <w:szCs w:val="24"/>
        </w:rPr>
        <w:t xml:space="preserve"> 避免引起有机溶剂燃烧、爆炸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2分）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63"/>
        </w:tabs>
        <w:kinsoku/>
        <w:wordWrap/>
        <w:overflowPunct/>
        <w:topLinePunct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2）</w:t>
      </w:r>
      <w:r>
        <w:rPr>
          <w:rFonts w:ascii="宋体" w:hAnsi="宋体" w:eastAsia="宋体" w:cs="宋体"/>
          <w:sz w:val="24"/>
          <w:szCs w:val="24"/>
        </w:rPr>
        <w:t>透明圈大小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2分）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63"/>
        </w:tabs>
        <w:kinsoku/>
        <w:wordWrap/>
        <w:overflowPunct/>
        <w:topLinePunct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  <w:sectPr>
          <w:footerReference r:id="rId3" w:type="default"/>
          <w:pgSz w:w="11910" w:h="16840"/>
          <w:pgMar w:top="1440" w:right="1236" w:bottom="1440" w:left="1236" w:header="113" w:footer="680" w:gutter="0"/>
          <w:pgNumType w:fmt="decimal"/>
        </w:sectPr>
      </w:pP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3）</w:t>
      </w:r>
      <w:r>
        <w:rPr>
          <w:rFonts w:ascii="宋体" w:hAnsi="宋体" w:eastAsia="宋体" w:cs="宋体"/>
          <w:sz w:val="24"/>
          <w:szCs w:val="24"/>
        </w:rPr>
        <w:t>取等量一定浓度的亚硝酸盐溶液置于标记好的试管中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1分）</w:t>
      </w:r>
      <w:r>
        <w:rPr>
          <w:rFonts w:ascii="宋体" w:hAnsi="宋体" w:eastAsia="宋体" w:cs="宋体"/>
          <w:sz w:val="24"/>
          <w:szCs w:val="24"/>
        </w:rPr>
        <w:t>，分别加入等量不同浓度的沙棘提取液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1分）</w:t>
      </w:r>
      <w:r>
        <w:rPr>
          <w:rFonts w:ascii="宋体" w:hAnsi="宋体" w:eastAsia="宋体" w:cs="宋体"/>
          <w:sz w:val="24"/>
          <w:szCs w:val="24"/>
        </w:rPr>
        <w:t>，置于相同且适宜的环境中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1分）</w:t>
      </w:r>
      <w:r>
        <w:rPr>
          <w:rFonts w:ascii="宋体" w:hAnsi="宋体" w:eastAsia="宋体" w:cs="宋体"/>
          <w:sz w:val="24"/>
          <w:szCs w:val="24"/>
        </w:rPr>
        <w:t>，一段时间后，检测并比较各试管中的亚硝酸盐含量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1分)。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A0BVwHxgEAAG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CD9662"/>
    <w:multiLevelType w:val="singleLevel"/>
    <w:tmpl w:val="ADCD9662"/>
    <w:lvl w:ilvl="0" w:tentative="0">
      <w:start w:val="2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317AFB2"/>
    <w:multiLevelType w:val="singleLevel"/>
    <w:tmpl w:val="1317AFB2"/>
    <w:lvl w:ilvl="0" w:tentative="0">
      <w:start w:val="1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C06D98C"/>
    <w:multiLevelType w:val="singleLevel"/>
    <w:tmpl w:val="7C06D98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412C9"/>
    <w:rsid w:val="165B3FA3"/>
    <w:rsid w:val="382412C9"/>
    <w:rsid w:val="6613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6">
    <w:name w:val="Compact"/>
    <w:basedOn w:val="2"/>
    <w:qFormat/>
    <w:uiPriority w:val="0"/>
    <w:pPr>
      <w:widowControl/>
      <w:spacing w:before="36" w:after="36"/>
    </w:pPr>
    <w:rPr>
      <w:rFonts w:ascii="Times New Roman" w:hAnsi="Times New Roman" w:eastAsiaTheme="minorEastAsia" w:cstheme="minorBidi"/>
      <w:kern w:val="0"/>
      <w:szCs w:val="24"/>
      <w:lang w:eastAsia="en-US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2022-04-27T14:48:00Z</dcterms:created>
  <dc:creator>苍耳</dc:creator>
  <cp:lastModifiedBy>苍耳</cp:lastModifiedBy>
  <dcterms:modified xsi:type="dcterms:W3CDTF">2022-04-28T09:06:10Z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